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6B6D5394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Infra-Red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6B62A8">
        <w:rPr>
          <w:rFonts w:ascii="Arial" w:hAnsi="Arial" w:cs="Arial"/>
          <w:color w:val="000000" w:themeColor="text1"/>
          <w:lang w:val="en-CA"/>
        </w:rPr>
        <w:t xml:space="preserve">SMT </w:t>
      </w:r>
      <w:r w:rsidR="00FD178B" w:rsidRPr="00067E5D">
        <w:rPr>
          <w:rFonts w:ascii="Arial" w:hAnsi="Arial" w:cs="Arial"/>
          <w:color w:val="000000" w:themeColor="text1"/>
          <w:lang w:val="en-CA"/>
        </w:rPr>
        <w:t>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25F88344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067E5D">
        <w:rPr>
          <w:rFonts w:ascii="Arial" w:hAnsi="Arial" w:cs="Arial"/>
          <w:color w:val="000000" w:themeColor="text1"/>
          <w:lang w:val="en-CA"/>
        </w:rPr>
        <w:t>and</w:t>
      </w:r>
      <w:r w:rsidR="00D2248D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require</w:t>
      </w:r>
      <w:r w:rsidR="00A436C6" w:rsidRPr="00067E5D">
        <w:rPr>
          <w:rFonts w:ascii="Arial" w:hAnsi="Arial" w:cs="Arial"/>
          <w:color w:val="000000" w:themeColor="text1"/>
          <w:lang w:val="en-CA"/>
        </w:rPr>
        <w:t>s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a </w:t>
      </w:r>
      <w:r w:rsidR="007A0598" w:rsidRPr="00067E5D">
        <w:rPr>
          <w:rFonts w:ascii="Arial" w:hAnsi="Arial" w:cs="Arial"/>
          <w:color w:val="000000" w:themeColor="text1"/>
          <w:lang w:val="en-CA"/>
        </w:rPr>
        <w:t xml:space="preserve">PoE+ IEEE 802.3at </w:t>
      </w:r>
      <w:r w:rsidR="00E14113" w:rsidRPr="00067E5D">
        <w:rPr>
          <w:rFonts w:ascii="Arial" w:hAnsi="Arial" w:cs="Arial"/>
          <w:color w:val="000000" w:themeColor="text1"/>
          <w:lang w:val="en-CA"/>
        </w:rPr>
        <w:t>input.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E79D8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6266C231" w14:textId="62C7F630" w:rsidR="008C52D6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47D989CF" w14:textId="77777777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7AE1129" w14:textId="5C2C4B87" w:rsidR="00D2248D" w:rsidRPr="00067E5D" w:rsidRDefault="00465524" w:rsidP="00067E5D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Infra-Red models shall be available in 850nm.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Other wavelengths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31E29013" w14:textId="5BBDE5F8" w:rsidR="000A0856" w:rsidRPr="00067E5D" w:rsidRDefault="00E14113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 illuminator shall comply with the POWERS lighting standard</w:t>
      </w:r>
      <w:r w:rsidR="000A0856" w:rsidRPr="00067E5D">
        <w:rPr>
          <w:rStyle w:val="hps"/>
          <w:rFonts w:ascii="Arial" w:hAnsi="Arial" w:cs="Arial"/>
          <w:color w:val="000000" w:themeColor="text1"/>
          <w:lang w:val="en-CA"/>
        </w:rPr>
        <w:t xml:space="preserve"> and the </w:t>
      </w:r>
      <w:r w:rsidR="000A0856" w:rsidRPr="00067E5D">
        <w:rPr>
          <w:rStyle w:val="hps"/>
          <w:rFonts w:ascii="Arial" w:hAnsi="Arial"/>
          <w:color w:val="000000" w:themeColor="text1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2A3883E9" w:rsidR="000469F9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6B62A8">
        <w:rPr>
          <w:rFonts w:ascii="Arial" w:hAnsi="Arial" w:cs="Arial"/>
          <w:iCs/>
          <w:color w:val="000000" w:themeColor="text1"/>
          <w:lang w:val="en-CA"/>
        </w:rPr>
        <w:t>200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6B62A8">
        <w:rPr>
          <w:rFonts w:ascii="Arial" w:hAnsi="Arial" w:cs="Arial"/>
          <w:iCs/>
          <w:color w:val="000000" w:themeColor="text1"/>
          <w:lang w:val="en-CA"/>
        </w:rPr>
        <w:t>656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single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2031D89F" w14:textId="55295198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850nm 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3F4C44BA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>At least 0.35uW/cm</w:t>
      </w:r>
      <w:r w:rsidR="00207E8C" w:rsidRPr="00067E5D">
        <w:rPr>
          <w:rFonts w:ascii="Arial" w:hAnsi="Arial" w:cs="Arial"/>
          <w:iCs/>
          <w:color w:val="000000" w:themeColor="text1"/>
          <w:vertAlign w:val="superscript"/>
          <w:lang w:val="en-CA"/>
        </w:rPr>
        <w:t>2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244E6BDE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6B62A8">
        <w:rPr>
          <w:rFonts w:ascii="Arial" w:hAnsi="Arial" w:cs="Arial"/>
          <w:iCs/>
          <w:color w:val="000000" w:themeColor="text1"/>
          <w:lang w:val="en-CA"/>
        </w:rPr>
        <w:t>25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68A2E654" w:rsidR="000469F9" w:rsidRPr="00067E5D" w:rsidRDefault="00E1411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6B62A8">
        <w:rPr>
          <w:rFonts w:ascii="Arial" w:hAnsi="Arial" w:cs="Arial"/>
          <w:color w:val="000000" w:themeColor="text1"/>
          <w:lang w:val="en-CA"/>
        </w:rPr>
        <w:t>PoE+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 IEEE 802.3at 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>24V DC on Premium  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430D80EE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8A0FF3" w:rsidRPr="00067E5D">
        <w:rPr>
          <w:rFonts w:ascii="Arial" w:hAnsi="Arial" w:cs="Arial"/>
          <w:iCs/>
          <w:color w:val="000000" w:themeColor="text1"/>
          <w:lang w:val="en-CA"/>
        </w:rPr>
        <w:t>950g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8A0FF3" w:rsidRPr="00067E5D">
        <w:rPr>
          <w:rFonts w:ascii="Arial" w:hAnsi="Arial" w:cs="Arial"/>
          <w:iCs/>
          <w:color w:val="000000" w:themeColor="text1"/>
          <w:lang w:val="en-CA"/>
        </w:rPr>
        <w:t>2.1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01D99D7A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Black (RAL </w:t>
      </w:r>
      <w:r w:rsidR="00B54230" w:rsidRPr="00067E5D">
        <w:rPr>
          <w:rFonts w:ascii="Arial" w:hAnsi="Arial" w:cs="Arial"/>
          <w:iCs/>
          <w:color w:val="000000" w:themeColor="text1"/>
          <w:lang w:val="en-CA"/>
        </w:rPr>
        <w:t>9005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40F93B29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100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C11C46" w:rsidRPr="00067E5D">
        <w:rPr>
          <w:rFonts w:ascii="Arial" w:hAnsi="Arial" w:cs="Arial"/>
          <w:iCs/>
          <w:color w:val="000000" w:themeColor="text1"/>
          <w:lang w:val="fr-CA"/>
        </w:rPr>
        <w:t>1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35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>mm x 6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6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4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5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2.5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725B8AC5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2F532B">
        <w:rPr>
          <w:rFonts w:ascii="Arial" w:hAnsi="Arial" w:cs="Arial"/>
          <w:iCs/>
          <w:color w:val="000000" w:themeColor="text1"/>
          <w:lang w:val="fr-CA"/>
        </w:rPr>
        <w:t>1x Cat5</w:t>
      </w:r>
      <w:bookmarkStart w:id="0" w:name="_GoBack"/>
      <w:bookmarkEnd w:id="0"/>
    </w:p>
    <w:p w14:paraId="2AB1E277" w14:textId="77777777" w:rsidR="006B62A8" w:rsidRPr="00067E5D" w:rsidRDefault="006B62A8" w:rsidP="006B62A8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75586D84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</w:t>
      </w:r>
      <w:r w:rsidR="00535656">
        <w:rPr>
          <w:rFonts w:ascii="Univers" w:hAnsi="Univers" w:cs="Univers"/>
          <w:color w:val="000000" w:themeColor="text1"/>
          <w:lang w:val="en-CA"/>
        </w:rPr>
        <w:t xml:space="preserve">Bracketry (VUB), to accommodate </w:t>
      </w:r>
      <w:r w:rsidRPr="00067E5D">
        <w:rPr>
          <w:rFonts w:ascii="Univers" w:hAnsi="Univers" w:cs="Univers"/>
          <w:color w:val="000000" w:themeColor="text1"/>
          <w:lang w:val="en-CA"/>
        </w:rPr>
        <w:t xml:space="preserve">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53136A26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BE01DF" w:rsidRPr="00067E5D">
        <w:rPr>
          <w:rFonts w:ascii="Arial" w:hAnsi="Arial" w:cs="Arial"/>
          <w:color w:val="000000" w:themeColor="text1"/>
          <w:lang w:val="en-CA"/>
        </w:rPr>
        <w:t>Infra-Red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416F28" w:rsidRPr="00067E5D">
        <w:rPr>
          <w:rFonts w:ascii="Arial" w:hAnsi="Arial" w:cs="Arial"/>
          <w:color w:val="000000" w:themeColor="text1"/>
          <w:lang w:val="en-CA"/>
        </w:rPr>
        <w:t>i</w:t>
      </w:r>
      <w:r w:rsidR="006B62A8">
        <w:rPr>
          <w:rFonts w:ascii="Arial" w:hAnsi="Arial" w:cs="Arial"/>
          <w:color w:val="000000" w:themeColor="text1"/>
          <w:lang w:val="en-CA"/>
        </w:rPr>
        <w:t>6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013A25BA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i</w:t>
          </w:r>
          <w:r w:rsidR="006B62A8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6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Infra-Red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3C99531D" w:rsidR="00BE01DF" w:rsidRPr="00067E5D" w:rsidRDefault="006B62A8" w:rsidP="006B62A8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30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200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98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656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51CA8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2F532B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35656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B62A8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77050"/>
    <w:rsid w:val="007A0598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0B4F-C1B6-4C84-A8E0-AF20FF92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0</TotalTime>
  <Pages>3</Pages>
  <Words>673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3</cp:revision>
  <cp:lastPrinted>2012-04-06T14:26:00Z</cp:lastPrinted>
  <dcterms:created xsi:type="dcterms:W3CDTF">2017-02-06T15:58:00Z</dcterms:created>
  <dcterms:modified xsi:type="dcterms:W3CDTF">2017-02-13T13:43:00Z</dcterms:modified>
</cp:coreProperties>
</file>